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06" w:rsidRPr="0034733E" w:rsidRDefault="0034733E" w:rsidP="00152E06">
      <w:pPr>
        <w:ind w:left="5760"/>
        <w:rPr>
          <w:lang w:val="es-ES"/>
        </w:rPr>
      </w:pPr>
      <w:r w:rsidRPr="0034733E">
        <w:rPr>
          <w:lang w:val="es-ES"/>
        </w:rPr>
        <w:t>Brus</w:t>
      </w:r>
      <w:r w:rsidR="00152E06" w:rsidRPr="0034733E">
        <w:rPr>
          <w:lang w:val="es-ES"/>
        </w:rPr>
        <w:t>el</w:t>
      </w:r>
      <w:r w:rsidRPr="0034733E">
        <w:rPr>
          <w:lang w:val="es-ES"/>
        </w:rPr>
        <w:t>a</w:t>
      </w:r>
      <w:r w:rsidR="00152E06" w:rsidRPr="0034733E">
        <w:rPr>
          <w:lang w:val="es-ES"/>
        </w:rPr>
        <w:t xml:space="preserve">s, </w:t>
      </w:r>
      <w:r w:rsidR="00034246" w:rsidRPr="0034733E">
        <w:rPr>
          <w:lang w:val="es-ES"/>
        </w:rPr>
        <w:t>18</w:t>
      </w:r>
      <w:r w:rsidR="00872530" w:rsidRPr="0034733E">
        <w:rPr>
          <w:lang w:val="es-ES"/>
        </w:rPr>
        <w:t xml:space="preserve"> </w:t>
      </w:r>
      <w:r w:rsidRPr="0034733E">
        <w:rPr>
          <w:lang w:val="es-ES"/>
        </w:rPr>
        <w:t xml:space="preserve">de marzo de </w:t>
      </w:r>
      <w:r w:rsidR="000A62F0" w:rsidRPr="0034733E">
        <w:rPr>
          <w:lang w:val="es-ES"/>
        </w:rPr>
        <w:t>2020</w:t>
      </w:r>
    </w:p>
    <w:p w:rsidR="00152E06" w:rsidRPr="005A3F70" w:rsidRDefault="00D919DA" w:rsidP="00152E06">
      <w:pPr>
        <w:ind w:left="5760"/>
        <w:rPr>
          <w:color w:val="auto"/>
          <w:sz w:val="18"/>
          <w:szCs w:val="18"/>
          <w:lang w:val="fr-BE"/>
        </w:rPr>
      </w:pPr>
      <w:r w:rsidRPr="005A3F70">
        <w:rPr>
          <w:color w:val="auto"/>
          <w:sz w:val="18"/>
          <w:szCs w:val="18"/>
          <w:lang w:val="fr-BE"/>
        </w:rPr>
        <w:t>2020-03-LD-23</w:t>
      </w:r>
      <w:r w:rsidR="00872530" w:rsidRPr="005A3F70">
        <w:rPr>
          <w:color w:val="auto"/>
          <w:sz w:val="18"/>
          <w:szCs w:val="18"/>
          <w:lang w:val="fr-BE"/>
        </w:rPr>
        <w:t>/GM</w:t>
      </w:r>
    </w:p>
    <w:p w:rsidR="00152E06" w:rsidRPr="005A3F70" w:rsidRDefault="00152E06" w:rsidP="00152E06">
      <w:pPr>
        <w:ind w:left="5760"/>
        <w:rPr>
          <w:lang w:val="fr-BE"/>
        </w:rPr>
      </w:pPr>
    </w:p>
    <w:p w:rsidR="000A62F0" w:rsidRPr="005A3F70" w:rsidRDefault="000A62F0" w:rsidP="00152E06">
      <w:pPr>
        <w:ind w:left="5760"/>
        <w:rPr>
          <w:lang w:val="fr-BE"/>
        </w:rPr>
      </w:pPr>
    </w:p>
    <w:p w:rsidR="00152E06" w:rsidRPr="005A3F70" w:rsidRDefault="00152E06" w:rsidP="00152E06">
      <w:pPr>
        <w:ind w:left="5760"/>
        <w:rPr>
          <w:lang w:val="fr-BE"/>
        </w:rPr>
      </w:pPr>
    </w:p>
    <w:p w:rsidR="001756DF" w:rsidRPr="005A3F70" w:rsidRDefault="0034733E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 w:eastAsia="en-GB"/>
        </w:rPr>
      </w:pPr>
      <w:r w:rsidRPr="005A3F70">
        <w:rPr>
          <w:rFonts w:eastAsia="Calibri" w:cs="Arial"/>
          <w:b/>
          <w:iCs/>
          <w:color w:val="auto"/>
          <w:sz w:val="28"/>
          <w:szCs w:val="28"/>
          <w:highlight w:val="yellow"/>
          <w:lang w:val="fr-BE" w:eastAsia="en-GB"/>
        </w:rPr>
        <w:t xml:space="preserve">ACTUALIZACIÓN DE </w:t>
      </w:r>
      <w:r w:rsidR="00034246" w:rsidRPr="005A3F70">
        <w:rPr>
          <w:rFonts w:eastAsia="Calibri" w:cs="Arial"/>
          <w:b/>
          <w:iCs/>
          <w:color w:val="auto"/>
          <w:sz w:val="28"/>
          <w:szCs w:val="28"/>
          <w:highlight w:val="yellow"/>
          <w:lang w:val="fr-BE" w:eastAsia="en-GB"/>
        </w:rPr>
        <w:t>18</w:t>
      </w:r>
      <w:r w:rsidR="00872530" w:rsidRPr="005A3F70">
        <w:rPr>
          <w:rFonts w:eastAsia="Calibri" w:cs="Arial"/>
          <w:b/>
          <w:iCs/>
          <w:color w:val="auto"/>
          <w:sz w:val="28"/>
          <w:szCs w:val="28"/>
          <w:highlight w:val="yellow"/>
          <w:lang w:val="fr-BE" w:eastAsia="en-GB"/>
        </w:rPr>
        <w:t>/03</w:t>
      </w:r>
      <w:r w:rsidR="001756DF" w:rsidRPr="005A3F70">
        <w:rPr>
          <w:rFonts w:eastAsia="Calibri" w:cs="Arial"/>
          <w:b/>
          <w:iCs/>
          <w:color w:val="auto"/>
          <w:sz w:val="28"/>
          <w:szCs w:val="28"/>
          <w:highlight w:val="yellow"/>
          <w:lang w:val="fr-BE" w:eastAsia="en-GB"/>
        </w:rPr>
        <w:t>/2020</w:t>
      </w:r>
    </w:p>
    <w:p w:rsidR="00872530" w:rsidRPr="005A3F7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fr-BE" w:eastAsia="en-GB"/>
        </w:rPr>
      </w:pPr>
      <w:r w:rsidRPr="005A3F70">
        <w:rPr>
          <w:rFonts w:eastAsia="Calibri" w:cs="Arial"/>
          <w:b/>
          <w:iCs/>
          <w:color w:val="auto"/>
          <w:sz w:val="28"/>
          <w:szCs w:val="28"/>
          <w:lang w:val="fr-BE" w:eastAsia="en-GB"/>
        </w:rPr>
        <w:t xml:space="preserve">COVID-19 </w:t>
      </w:r>
    </w:p>
    <w:p w:rsidR="009A2F97" w:rsidRPr="00263A10" w:rsidRDefault="0034733E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  <w:r w:rsidRPr="00263A10"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  <w:t>Nuevo</w:t>
      </w:r>
    </w:p>
    <w:p w:rsidR="00872530" w:rsidRPr="00263A1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s-ES" w:eastAsia="en-GB"/>
        </w:rPr>
      </w:pPr>
    </w:p>
    <w:p w:rsidR="00034246" w:rsidRPr="0034733E" w:rsidRDefault="0034733E" w:rsidP="00872530">
      <w:pPr>
        <w:rPr>
          <w:rFonts w:ascii="Candara" w:hAnsi="Candara"/>
          <w:color w:val="2C3340"/>
          <w:sz w:val="28"/>
          <w:szCs w:val="28"/>
          <w:highlight w:val="yellow"/>
          <w:shd w:val="clear" w:color="auto" w:fill="FEFEFE"/>
          <w:lang w:val="es-ES"/>
        </w:rPr>
      </w:pP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Debido a la evolución de la situación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en la epidemia de COVID-19, </w:t>
      </w:r>
      <w:r w:rsidR="00263A10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la mayoría de los países de Europa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ha determinado </w:t>
      </w:r>
      <w:r w:rsidR="00263A10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recientemente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el cierre de las e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scuelas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y </w:t>
      </w:r>
      <w:r w:rsidR="00263A10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ha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n</w:t>
      </w:r>
      <w:r w:rsidR="00263A10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suspendido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la educación </w:t>
      </w:r>
      <w:r w:rsidRPr="0034733E">
        <w:rPr>
          <w:rFonts w:ascii="Candara" w:hAnsi="Candara"/>
          <w:i/>
          <w:color w:val="2C3340"/>
          <w:sz w:val="28"/>
          <w:szCs w:val="28"/>
          <w:shd w:val="clear" w:color="auto" w:fill="FEFEFE"/>
          <w:lang w:val="es-ES"/>
        </w:rPr>
        <w:t>in situ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 El alcance de estas medidas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es diferente, pero en algunos E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stados el cierre se extiende </w:t>
      </w:r>
      <w:r w:rsidR="00263A10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ahora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hasta el final de las vacaciones de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Semana Santa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</w:t>
      </w:r>
    </w:p>
    <w:p w:rsidR="00D40848" w:rsidRPr="0034733E" w:rsidRDefault="00D40848" w:rsidP="00034246">
      <w:pPr>
        <w:rPr>
          <w:rFonts w:ascii="Candara" w:hAnsi="Candara"/>
          <w:color w:val="2C3340"/>
          <w:sz w:val="28"/>
          <w:szCs w:val="28"/>
          <w:highlight w:val="yellow"/>
          <w:shd w:val="clear" w:color="auto" w:fill="FEFEFE"/>
          <w:lang w:val="es-ES"/>
        </w:rPr>
      </w:pPr>
    </w:p>
    <w:p w:rsidR="00034246" w:rsidRPr="0034733E" w:rsidRDefault="00263A10" w:rsidP="00034246">
      <w:pPr>
        <w:rPr>
          <w:rFonts w:ascii="Candara" w:hAnsi="Candara"/>
          <w:color w:val="2C3340"/>
          <w:sz w:val="28"/>
          <w:szCs w:val="28"/>
          <w:highlight w:val="yellow"/>
          <w:shd w:val="clear" w:color="auto" w:fill="FEFEFE"/>
          <w:lang w:val="es-ES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Con el propósito de mantener </w:t>
      </w:r>
      <w:r w:rsidR="0034733E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un enfoque seguro y armonizado en las Escuelas Europeas, se recomienda mantener suspendida la asistencia regular obligatoria de los alumnos hasta el </w:t>
      </w:r>
      <w:r w:rsidR="0034733E" w:rsidRPr="0034733E">
        <w:rPr>
          <w:rFonts w:ascii="Candara" w:hAnsi="Candara"/>
          <w:b/>
          <w:color w:val="2C3340"/>
          <w:sz w:val="28"/>
          <w:szCs w:val="28"/>
          <w:shd w:val="clear" w:color="auto" w:fill="FEFEFE"/>
          <w:lang w:val="es-ES"/>
        </w:rPr>
        <w:t>19 de abril inclusive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(a</w:t>
      </w:r>
      <w:r w:rsidR="0034733E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rt. 30 </w:t>
      </w:r>
      <w:r w:rsid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"Reglamento General</w:t>
      </w:r>
      <w:r w:rsidR="0034733E"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de las Escuelas Europeas " Ref.: 2014-03-D -14).</w:t>
      </w:r>
    </w:p>
    <w:p w:rsidR="00034246" w:rsidRPr="0034733E" w:rsidRDefault="00034246" w:rsidP="00872530">
      <w:pPr>
        <w:rPr>
          <w:rFonts w:ascii="Candara" w:hAnsi="Candara"/>
          <w:color w:val="2C3340"/>
          <w:sz w:val="28"/>
          <w:szCs w:val="28"/>
          <w:highlight w:val="yellow"/>
          <w:shd w:val="clear" w:color="auto" w:fill="FEFEFE"/>
          <w:lang w:val="es-ES"/>
        </w:rPr>
      </w:pPr>
    </w:p>
    <w:p w:rsidR="00D40848" w:rsidRPr="0034733E" w:rsidRDefault="0034733E" w:rsidP="00D40848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Si bien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se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suspenden las lecciones in situ en todas las Escuelas Europeas durante est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e período, la dirección de las E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scuelas y los 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profesores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siguen haciendo todo lo posible para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mantener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la continuidad pedagógica 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mediante el uso de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herramientas de comunicación a distancia hasta el comienzo de las vacaciones de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Semana Santa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.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Se invita a l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os representantes legales de los alumnos a apoyar los esfuerzos de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sus hijos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en </w:t>
      </w:r>
      <w:r w:rsidR="00263A1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sus </w:t>
      </w:r>
      <w:r w:rsidR="005B64CF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respectivos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hogar</w:t>
      </w:r>
      <w:r w:rsidR="005B64CF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es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. La Oficina del Secretario General está preparando </w:t>
      </w:r>
      <w:r w:rsidR="005B64CF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directrices </w:t>
      </w:r>
      <w:r w:rsidRPr="0034733E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a este respecto.</w:t>
      </w:r>
    </w:p>
    <w:p w:rsidR="0087253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5A3F70" w:rsidRDefault="005A3F7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</w:p>
    <w:p w:rsidR="005A3F70" w:rsidRPr="0034733E" w:rsidRDefault="005A3F70" w:rsidP="00872530">
      <w:pP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</w:pPr>
      <w:r w:rsidRPr="005A3F7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Office of </w:t>
      </w:r>
      <w:proofErr w:type="spellStart"/>
      <w:r w:rsidRPr="005A3F7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the</w:t>
      </w:r>
      <w:proofErr w:type="spellEnd"/>
      <w:r w:rsidRPr="005A3F70"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 xml:space="preserve"> Secretary-General</w:t>
      </w:r>
      <w:r>
        <w:rPr>
          <w:rFonts w:ascii="Candara" w:hAnsi="Candara"/>
          <w:color w:val="2C3340"/>
          <w:sz w:val="28"/>
          <w:szCs w:val="28"/>
          <w:shd w:val="clear" w:color="auto" w:fill="FEFEFE"/>
          <w:lang w:val="es-ES"/>
        </w:rPr>
        <w:t>.</w:t>
      </w:r>
      <w:bookmarkStart w:id="0" w:name="_GoBack"/>
      <w:bookmarkEnd w:id="0"/>
    </w:p>
    <w:sectPr w:rsidR="005A3F70" w:rsidRPr="0034733E" w:rsidSect="000A62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DA" w:rsidRDefault="001E4FDA">
      <w:r>
        <w:separator/>
      </w:r>
    </w:p>
  </w:endnote>
  <w:endnote w:type="continuationSeparator" w:id="0">
    <w:p w:rsidR="001E4FDA" w:rsidRDefault="001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2414" wp14:editId="42B6F4F9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7A086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DA" w:rsidRDefault="001E4FDA">
      <w:r>
        <w:separator/>
      </w:r>
    </w:p>
  </w:footnote>
  <w:footnote w:type="continuationSeparator" w:id="0">
    <w:p w:rsidR="001E4FDA" w:rsidRDefault="001E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:rsidTr="00FD6ED7">
      <w:trPr>
        <w:trHeight w:val="1172"/>
      </w:trPr>
      <w:tc>
        <w:tcPr>
          <w:tcW w:w="1473" w:type="pct"/>
        </w:tcPr>
        <w:p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213C13AA" wp14:editId="18CB1D27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r w:rsidRPr="00315755">
            <w:rPr>
              <w:b/>
              <w:color w:val="233E91"/>
              <w:sz w:val="20"/>
            </w:rPr>
            <w:t>Schola Europaea</w:t>
          </w:r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24381"/>
    <w:rsid w:val="00034246"/>
    <w:rsid w:val="00050E8E"/>
    <w:rsid w:val="000819CB"/>
    <w:rsid w:val="000A62F0"/>
    <w:rsid w:val="000B09AC"/>
    <w:rsid w:val="000E4C7E"/>
    <w:rsid w:val="000F4411"/>
    <w:rsid w:val="00152E06"/>
    <w:rsid w:val="001756DF"/>
    <w:rsid w:val="0017744B"/>
    <w:rsid w:val="00196BBE"/>
    <w:rsid w:val="001D7A6F"/>
    <w:rsid w:val="001E4FDA"/>
    <w:rsid w:val="0020124C"/>
    <w:rsid w:val="00203DE0"/>
    <w:rsid w:val="00225543"/>
    <w:rsid w:val="002326F3"/>
    <w:rsid w:val="00254281"/>
    <w:rsid w:val="0026352B"/>
    <w:rsid w:val="00263A10"/>
    <w:rsid w:val="002931CE"/>
    <w:rsid w:val="002B0257"/>
    <w:rsid w:val="002B095E"/>
    <w:rsid w:val="002B5A8F"/>
    <w:rsid w:val="00315755"/>
    <w:rsid w:val="0034733E"/>
    <w:rsid w:val="00347F3B"/>
    <w:rsid w:val="00361416"/>
    <w:rsid w:val="003640C4"/>
    <w:rsid w:val="00390D45"/>
    <w:rsid w:val="003E5CB2"/>
    <w:rsid w:val="003E7CA3"/>
    <w:rsid w:val="00407F4F"/>
    <w:rsid w:val="0043413D"/>
    <w:rsid w:val="004710EE"/>
    <w:rsid w:val="004B2559"/>
    <w:rsid w:val="004B2F20"/>
    <w:rsid w:val="004E6417"/>
    <w:rsid w:val="0059597F"/>
    <w:rsid w:val="005A2E34"/>
    <w:rsid w:val="005A3F70"/>
    <w:rsid w:val="005B64CF"/>
    <w:rsid w:val="005E0A03"/>
    <w:rsid w:val="00601A8A"/>
    <w:rsid w:val="00606942"/>
    <w:rsid w:val="00620D20"/>
    <w:rsid w:val="006F093D"/>
    <w:rsid w:val="00702EA5"/>
    <w:rsid w:val="00723D61"/>
    <w:rsid w:val="00753A5B"/>
    <w:rsid w:val="00754386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A17D57"/>
    <w:rsid w:val="00A30767"/>
    <w:rsid w:val="00AA02ED"/>
    <w:rsid w:val="00AA43F8"/>
    <w:rsid w:val="00AD3B21"/>
    <w:rsid w:val="00B26603"/>
    <w:rsid w:val="00B27F23"/>
    <w:rsid w:val="00B3093F"/>
    <w:rsid w:val="00B41C1F"/>
    <w:rsid w:val="00B47199"/>
    <w:rsid w:val="00B477E1"/>
    <w:rsid w:val="00B6101B"/>
    <w:rsid w:val="00C21EC0"/>
    <w:rsid w:val="00C33061"/>
    <w:rsid w:val="00C53210"/>
    <w:rsid w:val="00C5607C"/>
    <w:rsid w:val="00D40848"/>
    <w:rsid w:val="00D75D63"/>
    <w:rsid w:val="00D77085"/>
    <w:rsid w:val="00D77DCC"/>
    <w:rsid w:val="00D919DA"/>
    <w:rsid w:val="00DA2AF6"/>
    <w:rsid w:val="00DB6A96"/>
    <w:rsid w:val="00E0616D"/>
    <w:rsid w:val="00E27156"/>
    <w:rsid w:val="00E507CF"/>
    <w:rsid w:val="00E51024"/>
    <w:rsid w:val="00E6121D"/>
    <w:rsid w:val="00E6151C"/>
    <w:rsid w:val="00EB7002"/>
    <w:rsid w:val="00EE5D5F"/>
    <w:rsid w:val="00F038A0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762C85"/>
  <w14:defaultImageDpi w14:val="32767"/>
  <w15:docId w15:val="{1DB59B08-3CE3-49BA-AF62-79E48FF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8A0F30-C812-404F-BC36-15E4B31A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2</cp:revision>
  <cp:lastPrinted>2020-02-25T10:25:00Z</cp:lastPrinted>
  <dcterms:created xsi:type="dcterms:W3CDTF">2020-03-18T14:55:00Z</dcterms:created>
  <dcterms:modified xsi:type="dcterms:W3CDTF">2020-03-18T14:55:00Z</dcterms:modified>
</cp:coreProperties>
</file>